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  <w:gridCol w:w="1530"/>
      </w:tblGrid>
      <w:tr>
        <w:tc>
          <w:tcPr>
            <w:tcW w:type="dxa" w:w="567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1701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Статус права</w:t>
            </w:r>
          </w:p>
        </w:tc>
        <w:tc>
          <w:tcPr>
            <w:tcW w:type="dxa" w:w="2835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Дата вступления решения в силу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Основание выдачи (Документ №)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 капитального строительства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Особо опасные, технически сложные и уникальные объекты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Объекты использования атомной энергии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Наличие права на ОДО (Дата вступления решения в силу, Документ №)</w:t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1701"/>
          </w:tcPr>
          <w:p>
            <w:r>
              <w:rPr>
                <w:rFonts w:ascii="Times New Roman" w:hAnsi="Times New Roman"/>
                <w:b w:val="0"/>
                <w:sz w:val="24"/>
              </w:rPr>
              <w:t>Прекращено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07.09.2020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Протокол заседания Правления № 480 (27.08.2020)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  <w:br/>
              <w:t>07.09.2020</w:t>
              <w:br/>
              <w:t>Протокол заседания Правления № 480 (27.08.2020)</w:t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