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443 (24.07.2019)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29.01.2020</w:t>
              <w:br/>
              <w:t>Протокол заседания Правления № 464 (29.01.2020)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