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530"/>
        <w:gridCol w:w="1530"/>
        <w:gridCol w:w="1530"/>
        <w:gridCol w:w="1530"/>
        <w:gridCol w:w="1530"/>
        <w:gridCol w:w="1530"/>
        <w:gridCol w:w="1530"/>
        <w:gridCol w:w="1530"/>
      </w:tblGrid>
      <w:tr>
        <w:tc>
          <w:tcPr>
            <w:tcW w:type="dxa" w:w="567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1701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Статус права</w:t>
            </w:r>
          </w:p>
        </w:tc>
        <w:tc>
          <w:tcPr>
            <w:tcW w:type="dxa" w:w="2835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Дата вступления решения в силу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Основание выдачи (Документ №)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 капитального строительства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Особо опасные, технически сложные и уникальные объекты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Объекты использования атомной энергии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Наличие права на ОДО (Дата вступления решения в силу, Документ №)</w:t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1701"/>
          </w:tcPr>
          <w:p>
            <w:r>
              <w:rPr>
                <w:rFonts w:ascii="Times New Roman" w:hAnsi="Times New Roman"/>
                <w:b w:val="0"/>
                <w:sz w:val="24"/>
              </w:rPr>
              <w:t>Прекращено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21.01.2019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Протокол заседания Правления № 417 (18.01.2019)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  <w:br/>
              <w:t>21.01.2019</w:t>
              <w:br/>
              <w:t>Протокол заседания Правления № 417 (18.01.2019)</w:t>
            </w:r>
          </w:p>
        </w:tc>
      </w:tr>
    </w:tbl>
    <w:sectPr w:rsidR="00FC693F" w:rsidRPr="0006063C" w:rsidSect="00034616">
      <w:pgSz w:w="15840" w:h="12240" w:orient="landscape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