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355 от 18.09.2026.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200 от 15.05.2026г.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24.09.2026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 от 06.02.2026г.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– устранить выявленные нарушения до 21 мая 2026 года.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№29 от 16.01.2026г.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21.05.2026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№424 от 17.09.2025г.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22.01.2026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 от 13.02.2025г.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 от 13.02.2024г.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 от 14.02.2023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№69 от 14.02.2022г.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 от 11.02.2021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228 от 20.05.2020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68 от 13.02.2020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№664 от 05.11.2019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544 от 24.09.2019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06.11.2019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61 от 18.02.2019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