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310 от 31.08.20026г.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203 от 19.06.2026г.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24.12.2026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196 от 30.04.2026г.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160 от 27.04.2026г.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20 000 (Двадцать тысяч) рублей в счет увеличения компенсационного фонда возмещения вреда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№80 от 04.03.2026г.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10 000 (Десять тысяч) рублей в счет увеличения компенсационного фонда возмещения вреда, а также предписание об устранении нарушений до 25.04.2026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№246 от 17.06.2025г.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– устранить выявленные нарушения до 04 августа 2025 года.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№197 от 14.06.2024г.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242 от 13.06.2023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№341 от 14.06.2022г.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437 от 24.08.2021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286 от 10.06.2021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233 от 08.05.2020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310 от 02.07.2019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298 от 26.06.2018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 от 02.02.2018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262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161 от 18.08.2017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