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2 от 25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– устранить выявленные нарушения до 16 октября 2026 года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4 от 01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- устранить выявленные нарушения до 29.05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7 от 17.10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0 от 14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6 от 16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9 от 20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9 от 20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4 от 15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3 от 1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