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238 от 22.06.2026г.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12.11.2026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123 от 09.04.2026г.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– устранить выявленные нарушения до 25 июня 2026 года.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№30 от 23.01.2026г.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25.06.2026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437 от 30.09.2025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29.01.2026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184 от 10.04.2025г.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09.10.2025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№149 от 07.04.2025г.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09.10.2025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№385 от 11.10.2024г.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10.04.2025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№121 от 09.04.2024г.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17.10.2024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№131 от 11.04.2023г.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№31 от 11.01.2023г.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№609 от 08.11.2022г.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09.02.2023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№484 от 15.08.2022г.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15.11.2022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№375 от 28.06.2022г.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18.08.2022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№170 от 07.04.2022г.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30.06.2022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№199 от 05.04.2022г.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30.06.2022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№93 от 08.02.2022г.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07.04.2022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607 от 19.11.2021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10.02.2022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165 от 09.04.2021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№402 от 09.09.2020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145 от 14.04.2020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214 от 06.05.2019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 Акт внеплановой проверки № 667 от 21.12.2018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543 от 12.10.2018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21.12.2018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195 от 30.04.2018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51 от 02.05.2017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02.05.2017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75 от 04.05.2016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04.05.2016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86 от 29.04.2016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211 от 29.12.2015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29.04.2016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55 от 30.04.2015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30.04.2015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31.12.2015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16 от 19.01.2015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Предупреждение 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61 от 03.05.2014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03.05.2014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