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200 от 15.05.2026г.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24.09.2026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№39 от 06.02.2026г.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– устранить выявленные нарушения до 21 мая 2026 года.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№29 от 16.01.2026г.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21.05.2026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№424 от 17.09.2025г.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22.01.2026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57 от 13.02.2025г.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№46 от 13.02.2024г.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58 от 14.02.2023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№69 от 14.02.2022г.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48 от 11.02.2021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228 от 20.05.2020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68 от 13.02.2020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21.05.2020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№664 от 05.11.2019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544 от 24.09.2019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06.11.2019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61 от 18.02.2019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