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№78 от 27.02.2026г.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Меры дисциплинарного воздействия не применены в связи устранением нарушений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№0128 от 09.12.2025г.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– устранить выявленные нарушения до 05 марта 2026 года.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№511 от 07.11.2025г.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05.03.2026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241 от 16.05.2025г.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13.11.2025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№427 от 09.12.2024г.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22.05.2025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№461 от 08.12.2023г.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№633 от 13.12.2022г.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633 от 08.12.2021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507 от 08.12.2020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№690 от 11.12.2019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629 от 12.12.2018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312 от 20.12.2017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236 от 22.12.2016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199 от 18.01.2016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216 от 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209 от 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