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108"/>
        <w:gridCol w:w="2108"/>
        <w:gridCol w:w="2108"/>
        <w:gridCol w:w="2108"/>
        <w:gridCol w:w="2108"/>
      </w:tblGrid>
      <w:tr>
        <w:tc>
          <w:tcPr>
            <w:tcW w:type="dxa" w:w="3969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открытия дисциплинарного производства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открытия дисциплинарного производства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Дисциплинарной комиссии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 Дисциплинарной комиссии</w:t>
            </w:r>
          </w:p>
        </w:tc>
      </w:tr>
      <w:tr>
        <w:tc>
          <w:tcPr>
            <w:tcW w:type="dxa" w:w="3969"/>
          </w:tcPr>
          <w:p>
            <w:r>
              <w:rPr>
                <w:rFonts w:ascii="Times New Roman" w:hAnsi="Times New Roman"/>
                <w:b w:val="0"/>
                <w:sz w:val="24"/>
              </w:rPr>
              <w:t>Дисциплинарное производство 21-С-0333-0622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Поручение генерального директора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22.03.2024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Штраф 10 000 рублей и предписание об устранении нарушений до 24.05.2024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22.04.2024</w:t>
            </w:r>
          </w:p>
        </w:tc>
      </w:tr>
    </w:tbl>
    <w:sectPr w:rsidR="00FC693F" w:rsidRPr="0006063C" w:rsidSect="00034616">
      <w:pgSz w:w="12240" w:h="15840"/>
      <w:pgMar w:top="1134" w:right="567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