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108"/>
        <w:gridCol w:w="2108"/>
        <w:gridCol w:w="2108"/>
        <w:gridCol w:w="2108"/>
        <w:gridCol w:w="2108"/>
      </w:tblGrid>
      <w:tr>
        <w:tc>
          <w:tcPr>
            <w:tcW w:type="dxa" w:w="3969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открытия дисциплинарного производства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открытия дисциплинарного производства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Дисциплинарной комиссии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 Дисциплинарной комиссии</w:t>
            </w:r>
          </w:p>
        </w:tc>
      </w:tr>
      <w:tr>
        <w:tc>
          <w:tcPr>
            <w:tcW w:type="dxa" w:w="3969"/>
          </w:tcPr>
          <w:p>
            <w:r>
              <w:rPr>
                <w:rFonts w:ascii="Times New Roman" w:hAnsi="Times New Roman"/>
                <w:b w:val="0"/>
                <w:sz w:val="24"/>
              </w:rPr>
              <w:t>Дисциплинарное производство 21-С-0203-0710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Поручение генерального директора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12.08.2026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Наложить штраф в размере 10 000 (Десять тысяч) рублей в счет увеличения компенсационного фонда возмещения вреда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27.08.2026</w:t>
            </w:r>
          </w:p>
        </w:tc>
      </w:tr>
    </w:tbl>
    <w:sectPr w:rsidR="00FC693F" w:rsidRPr="0006063C" w:rsidSect="00034616">
      <w:pgSz w:w="12240" w:h="15840"/>
      <w:pgMar w:top="1134" w:right="567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