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3969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открытия дисциплинарного производства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открытия дисциплинарного производства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Дисциплинарной комиссии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 Дисциплинарной комиссии</w:t>
            </w:r>
          </w:p>
        </w:tc>
      </w:tr>
      <w:tr>
        <w:tc>
          <w:tcPr>
            <w:tcW w:type="dxa" w:w="3969"/>
          </w:tcPr>
          <w:p>
            <w:r>
              <w:rPr>
                <w:rFonts w:ascii="Times New Roman" w:hAnsi="Times New Roman"/>
                <w:b w:val="0"/>
                <w:sz w:val="24"/>
              </w:rPr>
              <w:t>Дисциплинарное производство 21-С-0448-0718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Поручение генерального директора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10.04.2026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Наложить штраф в размере 20 000 (Двадцать тысяч) рублей в счет увеличения компенсационного фонда возмещения вреда и предписание об устранении нарушений до 25.06.2026 г.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16.04.2026</w:t>
            </w:r>
          </w:p>
        </w:tc>
      </w:tr>
    </w:tbl>
    <w:sectPr w:rsidR="00FC693F" w:rsidRPr="0006063C" w:rsidSect="00034616">
      <w:pgSz w:w="12240" w:h="15840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