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27.02.2025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№2133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05.09.2024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№2069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21.03.2024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№2018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4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30.11.2023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№1987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5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28.09.2023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№1971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6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08.06.2023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№1934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7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16.03.2023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№1892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8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22.12.2022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№1866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9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29.09.2022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№1830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